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B9" w:rsidRDefault="00E67CE5" w:rsidP="009D3CB9">
      <w:pPr>
        <w:suppressAutoHyphens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val="ru-RU" w:eastAsia="en-US"/>
        </w:rPr>
      </w:pPr>
      <w:r w:rsidRPr="00E67CE5">
        <w:rPr>
          <w:rFonts w:ascii="Arial" w:eastAsia="Calibri" w:hAnsi="Arial" w:cs="Arial"/>
          <w:b/>
          <w:bCs/>
          <w:sz w:val="24"/>
          <w:szCs w:val="24"/>
          <w:lang w:val="ru-RU" w:eastAsia="en-US"/>
        </w:rPr>
        <w:t>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</w:t>
      </w:r>
      <w:r>
        <w:rPr>
          <w:rFonts w:ascii="Arial" w:eastAsia="Calibri" w:hAnsi="Arial" w:cs="Arial"/>
          <w:b/>
          <w:bCs/>
          <w:sz w:val="24"/>
          <w:szCs w:val="24"/>
          <w:lang w:val="ru-RU" w:eastAsia="en-US"/>
        </w:rPr>
        <w:t>.</w:t>
      </w:r>
    </w:p>
    <w:p w:rsidR="00E67CE5" w:rsidRDefault="00E67CE5" w:rsidP="009D3CB9">
      <w:pPr>
        <w:suppressAutoHyphens/>
        <w:ind w:firstLine="567"/>
        <w:jc w:val="both"/>
        <w:rPr>
          <w:rFonts w:ascii="Arial" w:eastAsia="Arial" w:hAnsi="Arial" w:cs="Arial"/>
          <w:bCs/>
          <w:sz w:val="24"/>
          <w:szCs w:val="24"/>
          <w:lang w:val="ru-RU" w:eastAsia="en-US"/>
        </w:rPr>
      </w:pP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Arial" w:hAnsi="Arial" w:cs="Arial"/>
          <w:bCs/>
          <w:sz w:val="26"/>
          <w:szCs w:val="26"/>
          <w:lang w:val="ru-RU" w:eastAsia="en-US"/>
        </w:rPr>
        <w:t xml:space="preserve">1. </w:t>
      </w: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>Сведения о границах зон с особыми условиями использования территорий (далее – ЗОУИТ), внесенные в Единый государственный реестр недвижимости (далее – ЕГРН)</w:t>
      </w: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4"/>
          <w:szCs w:val="24"/>
          <w:highlight w:val="yellow"/>
          <w:lang w:val="ru-RU"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849"/>
        <w:gridCol w:w="1984"/>
        <w:gridCol w:w="10296"/>
      </w:tblGrid>
      <w:tr w:rsidR="007746D0" w:rsidRPr="00CA4B38" w:rsidTr="00450196">
        <w:tc>
          <w:tcPr>
            <w:tcW w:w="467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49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 xml:space="preserve">Реестровый номер </w:t>
            </w:r>
          </w:p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ЗОУИТ в ЕГРН</w:t>
            </w:r>
          </w:p>
        </w:tc>
        <w:tc>
          <w:tcPr>
            <w:tcW w:w="1984" w:type="dxa"/>
            <w:hideMark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Наименование ЗОУИТ</w:t>
            </w:r>
          </w:p>
        </w:tc>
        <w:tc>
          <w:tcPr>
            <w:tcW w:w="10296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Ограничение</w:t>
            </w:r>
          </w:p>
        </w:tc>
      </w:tr>
      <w:tr w:rsidR="007746D0" w:rsidRPr="008404F8" w:rsidTr="00450196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849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71:30-6.976</w:t>
            </w:r>
          </w:p>
        </w:tc>
        <w:tc>
          <w:tcPr>
            <w:tcW w:w="1984" w:type="dxa"/>
          </w:tcPr>
          <w:p w:rsidR="007746D0" w:rsidRPr="007746D0" w:rsidRDefault="007746D0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746D0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Единая охранная зона регулирования застройки и хозяйственной деятельности объектов культурного наследия, расположенных в границах Советского, Центрального, Привокзального и Пролетарского территориальных округов муниципального образования город Тула (индекс "ЕЗРЗ-3" участок 54)</w:t>
            </w:r>
          </w:p>
        </w:tc>
        <w:tc>
          <w:tcPr>
            <w:tcW w:w="10296" w:type="dxa"/>
          </w:tcPr>
          <w:p w:rsidR="007746D0" w:rsidRPr="007746D0" w:rsidRDefault="007746D0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746D0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В соответствии с постановлением правительства Тульской области от 24.12.2021 № 864. Общие режимы использования земель и земельных участков в границах территории единой зоны регулирования застройки и хозяйственной деятельности объектов культурного наследия (индексы «ЕЗРЗ-0», «ЕЗРЗ-1», «ЕЗРЗ-2», «ЕЗРЗ-3») В границах территории единой зоны регулирования застройки и хозяйственной деятельности (индексы «ЕЗРЗ-0», «ЕЗРЗ-1», «ЕЗРЗ-2», «ЕЗРЗ-3») разрешается: строительство, ремонт, реконструкция объектов капитального строительства в соответствии с требованиями к градостроительным регламентам; реконструкция объектов капитального строительства, параметры которых не соответствуют (на момент принятия нормативно-правового акта) действующим требованиям к градостроительным регламентам допускается без увеличения существующих параметров объекта (высота/площадь застройки); использование подземного пространства с применением мер по обеспечению сохранности объектов культурного наследия, в том числе выявленных объектов культурного наследия; сохранение элементов исторической планировочной структуры, в том числе исторических линий застройки улиц и площадей; строительство, ремонт, реконструкция линейных объектов, установка отдельно стоящего оборудования уличного освещения с последующим благоустройством территории и рекультивацией нарушенных земель; прокладка, реконструкция, ремонт и капитальный ремонт дорог и элементов их обустройства, не нарушающие целостность объектов культурного наследия и не создающие угрозы их повреждения, разрушения или уничтожения; устройство, ремонт и реконструкция пешеходных дорожек, мостиков, велосипедных дорожек, проездов; благоустройство и озеленение, не нарушающие визуального восприятия объектов культурного наследия, в том числе выявленных объектов культурного наследия; сохранение и преемственное развитие существующего уличного озеленения; проведение санитарных рубок, рубок ухода, а также ландшафтных рубок древесно-кустарниковой растительности; размещение некапитальных нестационарных сооружений на период проведения культурно-массовых мероприятий; установка временных элементов информационно-декоративного оформления (мобильные информационные конструкции), включая праздничное, а также временных строительных ограждающих </w:t>
            </w:r>
            <w:r w:rsidRPr="007746D0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lastRenderedPageBreak/>
              <w:t xml:space="preserve">конструкций; устройство информационных надписей и обозначений не выше первого этажа здания; проведение мероприятий, направленных на обеспечение пожарной и экологической безопасности; реконструкция элементов улично-дорожной сети. В границах территории единой зоны регулирования застройки и хозяйственной деятельности (индексы «ЕЗРЗ-0», «ЕЗРЗ-1», «ЕЗРЗ-2», «ЕЗРЗ-3») запрещается: хозяйственная деятельность, нарушающая целостность объектов культурного наследия, создающая угрозу их повреждения, разрушения или уничтожения; применение строительных технологий, создающих динамические нагрузки и оказывающих негативное воздействие на объекты культурного наследия, в том числе выявленные объекты культурного наследия; хозяйственная деятельность, связанная с загрязнением почв, грунтовых вод и поверхностных стоков; устройство входов, расположенных выше первого этажа, на фасадах объектов культурного наследия, в том числе выявленных объектов культурного наследия; установка на фасадах зданий, крышах или иных внешних поверхностях зданий и сооружений, формирующих линии застройки улиц и территории общего пользования, конструкций и элементов, нарушающих визуальное восприятие объектов культурного наследия; размещение рекламных конструкций (в том числе отдельно стоящих рекламных объектов), кроме конструкций, представляющих собой фигурные объемные буквы с корпусом из различных материалов без подсветки или с использованием рассеянного света, не искажающих визуальное восприятие объектов культурного наследия, в том числе выявленных объектов культурного наследия (настоящий запрет не распространяется на информационные элементы и устройства, предназначенные для размещения информации, не содержащей сведения рекламного характера – вывески, режимные таблички, указатели); установка на тротуарах, газонах, рядом с входными группами отдельно стоящих сборно-разборных (складных) конструкций – </w:t>
            </w:r>
            <w:proofErr w:type="spellStart"/>
            <w:r w:rsidRPr="007746D0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штендеров</w:t>
            </w:r>
            <w:proofErr w:type="spellEnd"/>
            <w:r w:rsidRPr="007746D0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; устройство свалок и организация необорудованных мест для мусора. Общие требования к градостроительным регламентам в границах территории единой зоны регулирования застройки и хозяйственной деятельности для участков с индексом «ЕЗРЗ-3» В границах территории единой зоны регулирования застройки и хозяйственной деятельности (индекс «ЕЗРЗ-3») разрешается: высота ограждений по линии застройки улицы не более 1,8 м; конфигурация кровли – двухскатная или плоская; использование в отделке фасадов натуральных отделочных материалов (натуральный камень, керамический кирпич, дерево, штукатурка с окраской) или искусственных материалов, имитирующих натуральные. В границах территории единой зоны регулирования застройки и хозяйственной деятельности (индекс «ЕЗРЗ-3») запрещается: установка глухих ограждений из профилированного металлического листа, поликарбоната по линии застройки улиц. Участок № 54. Высотная отметка объектов капитального строительства не более 30 м от уровня земли.</w:t>
            </w:r>
          </w:p>
        </w:tc>
      </w:tr>
      <w:tr w:rsidR="007746D0" w:rsidRPr="008404F8" w:rsidTr="00450196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2.</w:t>
            </w:r>
          </w:p>
        </w:tc>
        <w:tc>
          <w:tcPr>
            <w:tcW w:w="1849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71:30-6.912</w:t>
            </w:r>
          </w:p>
        </w:tc>
        <w:tc>
          <w:tcPr>
            <w:tcW w:w="1984" w:type="dxa"/>
          </w:tcPr>
          <w:p w:rsidR="007746D0" w:rsidRPr="00050055" w:rsidRDefault="007746D0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746D0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Единая охранная зона охраняемого природного ландшафта </w:t>
            </w:r>
            <w:r w:rsidRPr="007746D0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>объектов культурного наследия, расположенных в границах Советского, Центрального, Привокзального и Пролетарского территориальных округов муниципального образования город Тула (индекс "ЕЗОЛ" участок 6)</w:t>
            </w:r>
          </w:p>
        </w:tc>
        <w:tc>
          <w:tcPr>
            <w:tcW w:w="10296" w:type="dxa"/>
          </w:tcPr>
          <w:p w:rsidR="007746D0" w:rsidRPr="007746D0" w:rsidRDefault="007746D0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746D0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В соответствии с постановлением правительства Тульской области от 24.12.2021 № 864.Режимы использования земель и земельных участков в границах территории единой зоны охраняемого природного ландшафта объектов культурного наследия (индекс «ЕЗОЛ») В границах территории единой зоны охраняемого природного ландшафта (индекс «ЕЗОЛ») разрешается: прокладка в подземные трассы линейных объектов, ремонт, реконструкция </w:t>
            </w:r>
            <w:r w:rsidRPr="007746D0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существующих линейных объектов, в том числе с их прокладкой в подземные трассы, с последующим благоустройством территории и рекультивацией нарушенных земель; проведение санитарных рубок, рубок ухода, а также ландшафтных рубок древесно-кустарниковой растительности; проведение мероприятий, направленных на сохранение элементов природного ландшафта, особенностей рельефа, гидрографии; проведение противоэрозионных мероприятий на склонах, расчистка русел рек, ручьев и днищ оврагов, при наличии инженерно-геологического заключения об отсутствии негативного воздействия на гидрогеологические и экологические условия; благоустройство, в том числе, установка навесов, </w:t>
            </w:r>
            <w:proofErr w:type="spellStart"/>
            <w:r w:rsidRPr="007746D0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пергол</w:t>
            </w:r>
            <w:proofErr w:type="spellEnd"/>
            <w:r w:rsidRPr="007746D0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, летних террас, детских и спортивных площадок, малых архитектурных форм при условии сохранения визуального восприятия объектов культурного наследия с территорий общественных пространств; устройство, ремонт и реконструкция пешеходных дорожек, мостиков через реки, велосипедных дорожек; размещение санитарно-гигиенических сооружений, связанных с обслуживанием туристического потока; реконструкция элементов улично-дорожной сети. В границах территории единой зоны охраняемого природного ландшафта (индекс «ЕЗОЛ») запрещается: строительство объектов капитального строительства, за исключением предусмотренных подпунктом 11.1.1.; нарушение ландшафтных характеристик территории, в том числе изменение характеристик природного рельефа; хозяйственная деятельность, связанная с загрязнением почв, грунтовых вод и поверхностных стоков; хозяйственная деятельность, приводящая к изменению структуры природного ландшафта, а также нарушению почвенного покрова, уровня поверхностных и подземных вод; деятельность, наносящая ущерб природным и природно-антропогенным объектам и комплексам, санитарному состоянию и гидрологическому режиму водных объектов и элементов гидрографической сети, влекущая за собой ухудшение экологической ситуации, снижение или уничтожение природной ценности, эстетических и рекреационных качеств территории; проезд и стоянка автомототранспорта вне отведенных для этих целей дорог и площадок; размещение автостоянок и парковок путем сплошного асфальтирования или мощения территории; бурение скважин, распашка склонов оврагов и речных долин; разведение костров, выжигание травянистой растительности (проведение палов); самовольные посадки (порубки) деревьев и кустарников.</w:t>
            </w:r>
          </w:p>
        </w:tc>
      </w:tr>
      <w:tr w:rsidR="007746D0" w:rsidRPr="008404F8" w:rsidTr="00450196">
        <w:tc>
          <w:tcPr>
            <w:tcW w:w="467" w:type="dxa"/>
          </w:tcPr>
          <w:p w:rsidR="007746D0" w:rsidRPr="00050055" w:rsidRDefault="007746D0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3.</w:t>
            </w:r>
          </w:p>
        </w:tc>
        <w:tc>
          <w:tcPr>
            <w:tcW w:w="1849" w:type="dxa"/>
          </w:tcPr>
          <w:p w:rsidR="007746D0" w:rsidRPr="00050055" w:rsidRDefault="00DC3DE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71:30-6.600</w:t>
            </w:r>
          </w:p>
        </w:tc>
        <w:tc>
          <w:tcPr>
            <w:tcW w:w="1984" w:type="dxa"/>
          </w:tcPr>
          <w:p w:rsidR="007746D0" w:rsidRPr="00050055" w:rsidRDefault="00DC3DE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Охранная зона сооружений «Газопроводы среднего и низкого давления, расположенные в Советском, Центральном районах г. Тулы, включая 1 ШП, опоры 313 </w:t>
            </w:r>
            <w:proofErr w:type="spellStart"/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, протяженностью 11,15 км»</w:t>
            </w:r>
          </w:p>
        </w:tc>
        <w:tc>
          <w:tcPr>
            <w:tcW w:w="10296" w:type="dxa"/>
          </w:tcPr>
          <w:p w:rsidR="007746D0" w:rsidRDefault="00DC3DE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Использование земель в соответствии с Постановлением Правительства РФ от 20.11.2000 г. №878 "Об утверждении правил охраны газораспределительных сетей".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Постановления от 20.11.2000г. №878: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</w:t>
            </w:r>
          </w:p>
          <w:p w:rsidR="00FA6F48" w:rsidRPr="00DC3DEB" w:rsidRDefault="00FA6F48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A6F48" w:rsidRPr="008404F8" w:rsidTr="00450196">
        <w:tc>
          <w:tcPr>
            <w:tcW w:w="467" w:type="dxa"/>
          </w:tcPr>
          <w:p w:rsidR="00FA6F48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1849" w:type="dxa"/>
          </w:tcPr>
          <w:p w:rsidR="00FA6F48" w:rsidRDefault="00FA6F48" w:rsidP="00F43AD6">
            <w:pPr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71:30-6.1223</w:t>
            </w:r>
          </w:p>
        </w:tc>
        <w:tc>
          <w:tcPr>
            <w:tcW w:w="1984" w:type="dxa"/>
          </w:tcPr>
          <w:p w:rsidR="00FA6F48" w:rsidRPr="00FA6F48" w:rsidRDefault="00FA6F48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Охранная зона объекта газоснабжения: "Газопровод, расположенный по адресу: Тульская область, г. Тула, Центральный район"</w:t>
            </w:r>
          </w:p>
        </w:tc>
        <w:tc>
          <w:tcPr>
            <w:tcW w:w="10296" w:type="dxa"/>
          </w:tcPr>
          <w:p w:rsidR="00FA6F48" w:rsidRPr="00FA6F48" w:rsidRDefault="00FA6F48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В границах охранных зон </w:t>
            </w:r>
            <w:proofErr w:type="spellStart"/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запещается</w:t>
            </w:r>
            <w:proofErr w:type="spellEnd"/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: - строить объекты жилищно-гражданского и производственного назначения; -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-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-перемещать,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- устраивать свалки и склады, разливать растворы кислот, солей, щелочей и других химически активных веществ; -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-разводить огонь и размещать источники огня; - рыть погреба, копать и обрабатывать почву сельскохозяйственными и мелиоративными орудиями и механизмами на глубину более 0,3 метра; -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-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- самовольно подключаться к газораспределительным сетям.</w:t>
            </w:r>
          </w:p>
        </w:tc>
      </w:tr>
      <w:tr w:rsidR="007746D0" w:rsidRPr="008404F8" w:rsidTr="00450196">
        <w:tc>
          <w:tcPr>
            <w:tcW w:w="467" w:type="dxa"/>
          </w:tcPr>
          <w:p w:rsidR="007746D0" w:rsidRPr="00050055" w:rsidRDefault="00C744BB" w:rsidP="00C744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849" w:type="dxa"/>
          </w:tcPr>
          <w:p w:rsidR="007746D0" w:rsidRPr="00050055" w:rsidRDefault="00DC3DE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71:30-6.220</w:t>
            </w:r>
          </w:p>
        </w:tc>
        <w:tc>
          <w:tcPr>
            <w:tcW w:w="1984" w:type="dxa"/>
          </w:tcPr>
          <w:p w:rsidR="007746D0" w:rsidRPr="00DC3DEB" w:rsidRDefault="00DC3DE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Охранная зона сооружения связи – кабельная канализация местной телефонной сети c кН 71:30:000000:6500 (запись регистрации права собственности № 71-01/30-46/2004-0271.01 от 29.06.2004)</w:t>
            </w:r>
          </w:p>
        </w:tc>
        <w:tc>
          <w:tcPr>
            <w:tcW w:w="10296" w:type="dxa"/>
          </w:tcPr>
          <w:p w:rsidR="007746D0" w:rsidRPr="00DC3DEB" w:rsidRDefault="00DC3DE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Согласно п. 48 Постановления правительства РФ от 9 июня 1995 г. № 578 «Об утверждении Правил охраны линий и сооружений связи Российской Федерации», 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 б) производить геолого-съемочные, поисковые, геодезические и другие изыскательские работы, которые связаны с бурением скважин, </w:t>
            </w:r>
            <w:proofErr w:type="spellStart"/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шурфованием</w:t>
            </w:r>
            <w:proofErr w:type="spellEnd"/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, 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 д)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 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 ж) производить защиту подземных коммуникаций от коррозии без учета проходящих подземных кабельных линий связи.</w:t>
            </w:r>
          </w:p>
        </w:tc>
      </w:tr>
      <w:tr w:rsidR="007746D0" w:rsidRPr="008404F8" w:rsidTr="00450196">
        <w:tc>
          <w:tcPr>
            <w:tcW w:w="467" w:type="dxa"/>
          </w:tcPr>
          <w:p w:rsidR="007746D0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849" w:type="dxa"/>
          </w:tcPr>
          <w:p w:rsidR="007746D0" w:rsidRPr="00050055" w:rsidRDefault="00DC3DE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71:30-6.251</w:t>
            </w:r>
          </w:p>
        </w:tc>
        <w:tc>
          <w:tcPr>
            <w:tcW w:w="1984" w:type="dxa"/>
          </w:tcPr>
          <w:p w:rsidR="007746D0" w:rsidRPr="00DC3DEB" w:rsidRDefault="00DC3DE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Водоохранная</w:t>
            </w:r>
            <w:proofErr w:type="spellEnd"/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зона р. </w:t>
            </w:r>
            <w:proofErr w:type="spellStart"/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Упа</w:t>
            </w:r>
            <w:proofErr w:type="spellEnd"/>
            <w:r w:rsidRPr="00DC3DEB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в черте города Тула, Тульской области</w:t>
            </w:r>
          </w:p>
        </w:tc>
        <w:tc>
          <w:tcPr>
            <w:tcW w:w="10296" w:type="dxa"/>
          </w:tcPr>
          <w:p w:rsidR="007746D0" w:rsidRPr="00DC3DEB" w:rsidRDefault="00DC3DEB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DC3DEB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Ст. 65 Водного кодекса Российской Федерации №74-ФЗ от 03 июня 2006 года</w:t>
            </w:r>
          </w:p>
        </w:tc>
      </w:tr>
      <w:tr w:rsidR="007746D0" w:rsidRPr="008404F8" w:rsidTr="00450196">
        <w:tc>
          <w:tcPr>
            <w:tcW w:w="467" w:type="dxa"/>
          </w:tcPr>
          <w:p w:rsidR="007746D0" w:rsidRPr="00050055" w:rsidRDefault="00C744BB" w:rsidP="00C744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849" w:type="dxa"/>
          </w:tcPr>
          <w:p w:rsidR="007746D0" w:rsidRPr="00050055" w:rsidRDefault="007152A6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71:00-6.1340</w:t>
            </w:r>
          </w:p>
        </w:tc>
        <w:tc>
          <w:tcPr>
            <w:tcW w:w="1984" w:type="dxa"/>
          </w:tcPr>
          <w:p w:rsidR="007746D0" w:rsidRPr="00050055" w:rsidRDefault="007152A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Водоохранная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зона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руч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Рогожня</w:t>
            </w:r>
            <w:proofErr w:type="spellEnd"/>
          </w:p>
        </w:tc>
        <w:tc>
          <w:tcPr>
            <w:tcW w:w="10296" w:type="dxa"/>
          </w:tcPr>
          <w:p w:rsidR="007746D0" w:rsidRPr="007152A6" w:rsidRDefault="007152A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Устанавливается бессрочно. В соответствии со статьей 65 частью 15 Водного кодекса Российской Федерации №74-ФЗ от 03.06.2006 г. в границах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водоохранных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зон запрещаются: 1) использование сточных вод в целях повышения почвенного плодородия;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рыбохозяйственного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агрохимикатов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(за исключением хранения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агрохимикатов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агрохимикатов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      </w:r>
          </w:p>
        </w:tc>
      </w:tr>
      <w:tr w:rsidR="007746D0" w:rsidRPr="008404F8" w:rsidTr="00450196">
        <w:tc>
          <w:tcPr>
            <w:tcW w:w="467" w:type="dxa"/>
          </w:tcPr>
          <w:p w:rsidR="007746D0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849" w:type="dxa"/>
          </w:tcPr>
          <w:p w:rsidR="007746D0" w:rsidRPr="00050055" w:rsidRDefault="007152A6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71:00-6.1341</w:t>
            </w:r>
          </w:p>
        </w:tc>
        <w:tc>
          <w:tcPr>
            <w:tcW w:w="1984" w:type="dxa"/>
          </w:tcPr>
          <w:p w:rsidR="007746D0" w:rsidRPr="007152A6" w:rsidRDefault="007152A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Прибрежная защитная полоса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руч.Рогожня</w:t>
            </w:r>
            <w:proofErr w:type="spellEnd"/>
          </w:p>
        </w:tc>
        <w:tc>
          <w:tcPr>
            <w:tcW w:w="10296" w:type="dxa"/>
          </w:tcPr>
          <w:p w:rsidR="007746D0" w:rsidRPr="00050055" w:rsidRDefault="007152A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Устанавливается бессрочно. В соответствии со статьей 65 частью 15 Водного кодекса Российской Федерации №74-ФЗ от 03.06.2006 г. в границах прибрежных защитных полос запрещаются: 1) использование сточных вод в целях повышения почвенного плодородия;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рыбохозяйственного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значения не установлены;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хранение пестицидов и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агрохимикатов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(за исключением хранения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агрохимикатов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агрохимикатов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В соответствии со статьей 65 частью 17.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ванн.</w:t>
            </w:r>
          </w:p>
        </w:tc>
      </w:tr>
      <w:tr w:rsidR="007746D0" w:rsidRPr="008404F8" w:rsidTr="00450196">
        <w:tc>
          <w:tcPr>
            <w:tcW w:w="467" w:type="dxa"/>
          </w:tcPr>
          <w:p w:rsidR="007746D0" w:rsidRPr="00050055" w:rsidRDefault="00C744BB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849" w:type="dxa"/>
          </w:tcPr>
          <w:p w:rsidR="007746D0" w:rsidRPr="00050055" w:rsidRDefault="007152A6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71:00-6.1021</w:t>
            </w:r>
          </w:p>
        </w:tc>
        <w:tc>
          <w:tcPr>
            <w:tcW w:w="1984" w:type="dxa"/>
          </w:tcPr>
          <w:p w:rsidR="007746D0" w:rsidRPr="007152A6" w:rsidRDefault="007152A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Зона затопления территорий, прилегающих к р. </w:t>
            </w:r>
            <w:proofErr w:type="spellStart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Упе</w:t>
            </w:r>
            <w:proofErr w:type="spellEnd"/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в черте г. Тулы, затапливаемых при половодьях и паводках однопроцентной обеспеченности</w:t>
            </w:r>
          </w:p>
        </w:tc>
        <w:tc>
          <w:tcPr>
            <w:tcW w:w="10296" w:type="dxa"/>
          </w:tcPr>
          <w:p w:rsidR="007746D0" w:rsidRPr="007152A6" w:rsidRDefault="007152A6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7152A6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Согласно п. 6 ст. 67.1 Водного кодекса РФ от 03.06.2006 № 74-ФЗ в границах зон затопления,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</w:tc>
      </w:tr>
      <w:tr w:rsidR="007746D0" w:rsidRPr="008404F8" w:rsidTr="00450196">
        <w:tc>
          <w:tcPr>
            <w:tcW w:w="467" w:type="dxa"/>
          </w:tcPr>
          <w:p w:rsidR="007746D0" w:rsidRPr="00050055" w:rsidRDefault="00C744BB" w:rsidP="00C744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7746D0" w:rsidRPr="000500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849" w:type="dxa"/>
          </w:tcPr>
          <w:p w:rsidR="007746D0" w:rsidRPr="00050055" w:rsidRDefault="007152A6" w:rsidP="00F43A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71:00-6.1087</w:t>
            </w:r>
          </w:p>
        </w:tc>
        <w:tc>
          <w:tcPr>
            <w:tcW w:w="1984" w:type="dxa"/>
          </w:tcPr>
          <w:p w:rsidR="007746D0" w:rsidRPr="00FA6F48" w:rsidRDefault="00FA6F48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Территория сильного подтопления в границах зоны подтопления территорий, прилегающих к зоне затопления территорий, прилегающих к р. </w:t>
            </w:r>
            <w:proofErr w:type="spellStart"/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Упы</w:t>
            </w:r>
            <w:proofErr w:type="spellEnd"/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в черте г. Тулы, затапливаемых при половодьях и паводках однопроцентной обеспеченности, повышение уровня грунтовых вод водного объекта</w:t>
            </w:r>
          </w:p>
        </w:tc>
        <w:tc>
          <w:tcPr>
            <w:tcW w:w="10296" w:type="dxa"/>
          </w:tcPr>
          <w:p w:rsidR="007746D0" w:rsidRPr="00FA6F48" w:rsidRDefault="00FA6F48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Согласно п. 6 ст. 67.1 Водного кодекса РФ от 03.06.2006 № 74-ФЗ в границах зон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</w:tc>
      </w:tr>
      <w:tr w:rsidR="00FA6F48" w:rsidRPr="008404F8" w:rsidTr="00450196">
        <w:tc>
          <w:tcPr>
            <w:tcW w:w="467" w:type="dxa"/>
          </w:tcPr>
          <w:p w:rsidR="00FA6F48" w:rsidRPr="00050055" w:rsidRDefault="00FA6F48" w:rsidP="00C744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C744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849" w:type="dxa"/>
          </w:tcPr>
          <w:p w:rsidR="00FA6F48" w:rsidRDefault="00FA6F48" w:rsidP="00F43AD6">
            <w:pPr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71:00-6.1086</w:t>
            </w:r>
          </w:p>
        </w:tc>
        <w:tc>
          <w:tcPr>
            <w:tcW w:w="1984" w:type="dxa"/>
          </w:tcPr>
          <w:p w:rsidR="00FA6F48" w:rsidRPr="00FA6F48" w:rsidRDefault="00FA6F48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Зона подтопления территорий, прилегающих к зоне затопления территорий, прилегающих к р. </w:t>
            </w:r>
            <w:proofErr w:type="spellStart"/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Упы</w:t>
            </w:r>
            <w:proofErr w:type="spellEnd"/>
            <w:r w:rsidRPr="00FA6F48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 в черте г. Тулы, затапливаемых при половодьях и паводках однопроцентной обеспеченности, повышение уровня грунтовых вод которых обусловливается подпором грунтовых вод</w:t>
            </w:r>
          </w:p>
        </w:tc>
        <w:tc>
          <w:tcPr>
            <w:tcW w:w="10296" w:type="dxa"/>
          </w:tcPr>
          <w:p w:rsidR="00FA6F48" w:rsidRPr="00FA6F48" w:rsidRDefault="00FA6F48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FA6F48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Согласно п. 6 ст. 67.1 Водного кодекса РФ от 03.06.2006 № 74-ФЗ в границах зон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</w:t>
            </w:r>
          </w:p>
        </w:tc>
      </w:tr>
    </w:tbl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450196" w:rsidRDefault="00450196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450196" w:rsidRDefault="00450196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450196" w:rsidRDefault="00450196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450196" w:rsidRDefault="00450196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450196" w:rsidRDefault="00450196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450196" w:rsidRDefault="00450196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FA6F48" w:rsidRDefault="00FA6F48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 xml:space="preserve">2. Перечень </w:t>
      </w:r>
      <w:r w:rsidR="00E67CE5" w:rsidRP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объект</w:t>
      </w:r>
      <w:r w:rsid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ов инженерно-технического обеспечения</w:t>
      </w:r>
      <w:r w:rsidR="00E67CE5" w:rsidRPr="00E67CE5">
        <w:rPr>
          <w:rFonts w:ascii="Arial" w:eastAsia="Calibri" w:hAnsi="Arial" w:cs="Arial"/>
          <w:bCs/>
          <w:sz w:val="26"/>
          <w:szCs w:val="26"/>
          <w:lang w:val="ru-RU" w:eastAsia="en-US"/>
        </w:rPr>
        <w:t>, расположенные в границах территории</w:t>
      </w:r>
      <w:r w:rsidRPr="00CA4B38">
        <w:rPr>
          <w:rFonts w:ascii="Arial" w:eastAsia="Calibri" w:hAnsi="Arial" w:cs="Arial"/>
          <w:bCs/>
          <w:sz w:val="26"/>
          <w:szCs w:val="26"/>
          <w:lang w:val="ru-RU" w:eastAsia="en-US"/>
        </w:rPr>
        <w:t>, расположенные в границах территории, в отношении которой заключается договор о комплексном развитии</w:t>
      </w:r>
    </w:p>
    <w:p w:rsidR="009D3CB9" w:rsidRPr="00CA4B38" w:rsidRDefault="009D3CB9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374"/>
        <w:gridCol w:w="3588"/>
        <w:gridCol w:w="3101"/>
        <w:gridCol w:w="2813"/>
      </w:tblGrid>
      <w:tr w:rsidR="009D3CB9" w:rsidRPr="00CA4B38" w:rsidTr="00F43AD6">
        <w:tc>
          <w:tcPr>
            <w:tcW w:w="235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>№</w:t>
            </w:r>
          </w:p>
        </w:tc>
        <w:tc>
          <w:tcPr>
            <w:tcW w:w="1502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Адресное описание</w:t>
            </w:r>
            <w:r w:rsidRPr="00CA4B38">
              <w:rPr>
                <w:rFonts w:ascii="Arial" w:eastAsia="Arial" w:hAnsi="Arial" w:cs="Arial"/>
                <w:sz w:val="18"/>
                <w:szCs w:val="18"/>
                <w:lang w:val="ru-RU"/>
              </w:rPr>
              <w:t xml:space="preserve"> </w:t>
            </w: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земельного участка</w:t>
            </w:r>
          </w:p>
        </w:tc>
        <w:tc>
          <w:tcPr>
            <w:tcW w:w="1232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Кадастровый номер объекта капитального строительства</w:t>
            </w:r>
          </w:p>
        </w:tc>
        <w:tc>
          <w:tcPr>
            <w:tcW w:w="1065" w:type="pct"/>
          </w:tcPr>
          <w:p w:rsidR="009D3CB9" w:rsidRPr="00CA4B38" w:rsidRDefault="00E3612D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966" w:type="pct"/>
          </w:tcPr>
          <w:p w:rsidR="009D3CB9" w:rsidRPr="00CA4B38" w:rsidRDefault="009D3CB9" w:rsidP="00F43AD6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CA4B38">
              <w:rPr>
                <w:rFonts w:ascii="Arial" w:eastAsia="Arial" w:hAnsi="Arial" w:cs="Arial"/>
                <w:bCs/>
                <w:sz w:val="18"/>
                <w:szCs w:val="18"/>
                <w:lang w:val="ru-RU"/>
              </w:rPr>
              <w:t>обременения</w:t>
            </w:r>
          </w:p>
        </w:tc>
      </w:tr>
      <w:tr w:rsidR="009D3CB9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9D3CB9" w:rsidRPr="00CA4B38" w:rsidRDefault="009D3CB9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9D3CB9" w:rsidRP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E3612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г.Тула</w:t>
            </w:r>
            <w:proofErr w:type="spellEnd"/>
            <w:r w:rsidRPr="00E3612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, Центральный район, в районе </w:t>
            </w:r>
            <w:proofErr w:type="spellStart"/>
            <w:r w:rsidRPr="00E3612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ул.Шишкина</w:t>
            </w:r>
            <w:proofErr w:type="spellEnd"/>
            <w:r w:rsidRPr="00E3612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3612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ул.Р.Люксембург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</w:tcPr>
          <w:p w:rsidR="009D3CB9" w:rsidRPr="00CA4B38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E3612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71:00:000000:112404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9D3CB9" w:rsidRP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E3612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иное сооружение (наружные сети канализации)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9D3CB9" w:rsidRPr="00CA4B38" w:rsidRDefault="008B53C2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Частная собственность</w:t>
            </w:r>
          </w:p>
        </w:tc>
      </w:tr>
      <w:tr w:rsidR="00E3612D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2. 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Тульская область, Ленинский район, с. Осиновая Гора,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мкр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Времена Года, в районе ул.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Аркадия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Шипунова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Восточный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обвод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ул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Академика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Насоновой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</w:tcPr>
          <w:p w:rsidR="00E3612D" w:rsidRP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71:00:000000:146681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напорная сеть канализации, ПНД, диаметром 200мм, в две нитки, ориентировочно 1500м и 1496м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___</w:t>
            </w:r>
          </w:p>
        </w:tc>
      </w:tr>
      <w:tr w:rsidR="00E3612D" w:rsidRPr="008B53C2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E3612D" w:rsidRPr="00E3612D" w:rsidRDefault="00E3612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ул.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Р.Люксембург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от ул. Никитской до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ул.К.Либкнехта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</w:tcPr>
          <w:p w:rsidR="00E3612D" w:rsidRDefault="00E3612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71:00:000000:112757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E3612D" w:rsidRPr="00E3612D" w:rsidRDefault="00E3612D" w:rsidP="00F43AD6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Канализационный коллектор Ду-1000мм, ж/б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E3612D" w:rsidRDefault="008B53C2" w:rsidP="00F43AD6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8B53C2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B53C2" w:rsidRPr="00E3612D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г.Тула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, от ВНС «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Щегловская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» (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Новомедвенский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пр., д.16) по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ул.Марата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ул.Баженова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ул.Баженова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ул.Шухова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ул.Шухова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от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ул.Калинина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ул.Епифанской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ул.Епифанской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ул.Кирова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ул.Кирова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через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р.Упу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ул.Шишикина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ул.Л.Толстого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ул.Л.Толстого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ул.М.Тореза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ул.М.Тореза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ул.Жаворонкова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 до ВНС «Южная» (</w:t>
            </w:r>
            <w:proofErr w:type="spellStart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ул.Ф.Энгельса</w:t>
            </w:r>
            <w:proofErr w:type="spellEnd"/>
            <w:r w:rsidRPr="00E3612D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, д.60)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71:00:000000:112539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8B53C2" w:rsidRPr="00E3612D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Cооружения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коммунального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хозяйства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8B53C2" w:rsidRPr="00CA4B38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B53C2" w:rsidRPr="001250B9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1250B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Тульская область, город Тула, Центральный р-н, улица </w:t>
            </w:r>
            <w:proofErr w:type="spellStart"/>
            <w:r w:rsidRPr="001250B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Р.Люксембург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71:30:050104:407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сооружения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дорожного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транспорта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  <w:tr w:rsidR="008B53C2" w:rsidRPr="001250B9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6. 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B53C2" w:rsidRPr="00E3612D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1250B9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Российская Федерация, Тульская обл., г. Тула, Центральный р-н, ул. Розы Люксембург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8B53C2" w:rsidRPr="001250B9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71:30:050104:1003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8B53C2" w:rsidRPr="001250B9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газопровод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низкого</w:t>
            </w:r>
            <w:proofErr w:type="spellEnd"/>
            <w:r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давления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Частная собственность</w:t>
            </w:r>
          </w:p>
        </w:tc>
      </w:tr>
      <w:tr w:rsidR="008B53C2" w:rsidRPr="001250B9" w:rsidTr="00F43AD6">
        <w:trPr>
          <w:trHeight w:val="734"/>
        </w:trPr>
        <w:tc>
          <w:tcPr>
            <w:tcW w:w="235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 xml:space="preserve">7. 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8B53C2" w:rsidRPr="00450196" w:rsidRDefault="00450196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 w:rsidRPr="0045019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 xml:space="preserve">Тульская область, город Тула, Центральный р-н, улица </w:t>
            </w:r>
            <w:proofErr w:type="spellStart"/>
            <w:r w:rsidRPr="00450196"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  <w:t>Мопра</w:t>
            </w:r>
            <w:proofErr w:type="spellEnd"/>
          </w:p>
        </w:tc>
        <w:tc>
          <w:tcPr>
            <w:tcW w:w="1232" w:type="pct"/>
            <w:shd w:val="clear" w:color="auto" w:fill="auto"/>
            <w:vAlign w:val="center"/>
          </w:tcPr>
          <w:p w:rsidR="008B53C2" w:rsidRPr="001250B9" w:rsidRDefault="008B53C2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52625"/>
                <w:shd w:val="clear" w:color="auto" w:fill="FFFFFF"/>
              </w:rPr>
              <w:t>71:30:050104:436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8B53C2" w:rsidRPr="001250B9" w:rsidRDefault="00450196" w:rsidP="008B53C2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252625"/>
                <w:shd w:val="clear" w:color="auto" w:fill="FFFFFF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52625"/>
                <w:shd w:val="clear" w:color="auto" w:fill="FFFFFF"/>
              </w:rPr>
              <w:t>Автодорога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</w:tcPr>
          <w:p w:rsidR="008B53C2" w:rsidRDefault="008B53C2" w:rsidP="008B53C2">
            <w:pPr>
              <w:suppressAutoHyphens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Муниципальная собственность</w:t>
            </w:r>
          </w:p>
        </w:tc>
      </w:tr>
    </w:tbl>
    <w:p w:rsidR="00E3612D" w:rsidRDefault="00E3612D" w:rsidP="009D3CB9">
      <w:pPr>
        <w:suppressAutoHyphens/>
        <w:ind w:firstLine="567"/>
        <w:jc w:val="both"/>
        <w:rPr>
          <w:rFonts w:ascii="Arial" w:eastAsia="Calibri" w:hAnsi="Arial" w:cs="Arial"/>
          <w:bCs/>
          <w:sz w:val="26"/>
          <w:szCs w:val="26"/>
          <w:lang w:val="ru-RU" w:eastAsia="en-US"/>
        </w:rPr>
      </w:pPr>
    </w:p>
    <w:sectPr w:rsidR="00E3612D" w:rsidSect="007746D0">
      <w:footerReference w:type="default" r:id="rId6"/>
      <w:pgSz w:w="16838" w:h="11906" w:orient="landscape"/>
      <w:pgMar w:top="1701" w:right="1134" w:bottom="851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A0" w:rsidRDefault="009E39A0">
      <w:r>
        <w:separator/>
      </w:r>
    </w:p>
  </w:endnote>
  <w:endnote w:type="continuationSeparator" w:id="0">
    <w:p w:rsidR="009E39A0" w:rsidRDefault="009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58" w:rsidRPr="00AB60F8" w:rsidRDefault="008404F8" w:rsidP="00AB60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A0" w:rsidRDefault="009E39A0">
      <w:r>
        <w:separator/>
      </w:r>
    </w:p>
  </w:footnote>
  <w:footnote w:type="continuationSeparator" w:id="0">
    <w:p w:rsidR="009E39A0" w:rsidRDefault="009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B9"/>
    <w:rsid w:val="000D4A26"/>
    <w:rsid w:val="001250B9"/>
    <w:rsid w:val="00135F5A"/>
    <w:rsid w:val="001D76E2"/>
    <w:rsid w:val="00450196"/>
    <w:rsid w:val="007152A6"/>
    <w:rsid w:val="007746D0"/>
    <w:rsid w:val="008404F8"/>
    <w:rsid w:val="008B53C2"/>
    <w:rsid w:val="009D3CB9"/>
    <w:rsid w:val="009E39A0"/>
    <w:rsid w:val="00C744BB"/>
    <w:rsid w:val="00D51726"/>
    <w:rsid w:val="00DC3DEB"/>
    <w:rsid w:val="00E3612D"/>
    <w:rsid w:val="00E67CE5"/>
    <w:rsid w:val="00F10872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65FFD"/>
  <w15:chartTrackingRefBased/>
  <w15:docId w15:val="{D392D531-E228-4089-9A7F-1A143D2A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B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CB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D3CB9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9D3CB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9D3CB9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Серёгина Светлана Рафаиловна</dc:creator>
  <cp:keywords/>
  <dc:description/>
  <cp:lastModifiedBy>Камерилова Наталья Андреевна</cp:lastModifiedBy>
  <cp:revision>6</cp:revision>
  <dcterms:created xsi:type="dcterms:W3CDTF">2025-07-07T13:15:00Z</dcterms:created>
  <dcterms:modified xsi:type="dcterms:W3CDTF">2025-07-21T05:59:00Z</dcterms:modified>
</cp:coreProperties>
</file>